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CCCF6C5" wp14:paraId="1D239296" wp14:textId="41F4AF6C">
      <w:pPr>
        <w:spacing w:before="450" w:beforeAutospacing="off" w:after="300" w:afterAutospacing="off"/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</w:pP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>EXHIBITIONS</w:t>
      </w:r>
    </w:p>
    <w:p xmlns:wp14="http://schemas.microsoft.com/office/word/2010/wordml" w:rsidP="3CCCF6C5" wp14:paraId="6761C5F9" wp14:textId="402FE5BE">
      <w:pPr>
        <w:spacing w:before="450" w:beforeAutospacing="off" w:after="300" w:afterAutospacing="off"/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</w:pP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 xml:space="preserve">2023 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>The Floraissance has begun, Movart Gallery, Lisbon (Solo)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 xml:space="preserve">2021 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>Welcome to the Floraissance, Art Biesenthal (Solo)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 xml:space="preserve">       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>Nautilus Art &amp; Sound, Berlin (Group)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 xml:space="preserve">2019 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>Art Biesenthal (Group)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 xml:space="preserve">2018 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>Der Drops ist gelutscht, Positive Inc., Aufbau Haus Berlin (Solo)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>2017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Tsampa, Sennheiser Future Audio Artist Program, Berlin (Solo)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 xml:space="preserve">2016 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>Die Eroberung des Unwahrscheinlichen, NR Projects Berlin (Solo)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 xml:space="preserve">       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>Lüpertz meets Falckenberg, Unique Art Concepts Hamburg (Group)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 xml:space="preserve">2015 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>Der Falke glüht am Firmament, Anna Jill Lüpertz Gallery Berlin (Solo)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>2014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</w:t>
      </w:r>
      <w:hyperlink r:id="R7f96d44b6ed045c3">
        <w:r w:rsidRPr="3CCCF6C5" w:rsidR="3CCCF6C5">
          <w:rPr>
            <w:rStyle w:val="Hyperlink"/>
            <w:rFonts w:ascii="helvetica" w:hAnsi="helvetica" w:eastAsia="helvetica" w:cs="helvetica"/>
            <w:noProof w:val="0"/>
            <w:color w:val="777777"/>
            <w:sz w:val="27"/>
            <w:szCs w:val="27"/>
            <w:lang w:val="en-GB"/>
          </w:rPr>
          <w:t>Magasin Souvenir</w:t>
        </w:r>
      </w:hyperlink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Berlin (Group)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808080" w:themeColor="background1" w:themeTint="FF" w:themeShade="80"/>
          <w:sz w:val="27"/>
          <w:szCs w:val="27"/>
          <w:lang w:val="en-GB"/>
        </w:rPr>
        <w:t>2013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Mutglut, </w:t>
      </w:r>
      <w:hyperlink r:id="Rcf110c4a9e744314">
        <w:r w:rsidRPr="3CCCF6C5" w:rsidR="3CCCF6C5">
          <w:rPr>
            <w:rStyle w:val="Hyperlink"/>
            <w:rFonts w:ascii="helvetica" w:hAnsi="helvetica" w:eastAsia="helvetica" w:cs="helvetica"/>
            <w:noProof w:val="0"/>
            <w:color w:val="777777"/>
            <w:sz w:val="27"/>
            <w:szCs w:val="27"/>
            <w:lang w:val="en-GB"/>
          </w:rPr>
          <w:t>Magasin Souvenir</w:t>
        </w:r>
      </w:hyperlink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in cooperation with Galerie Crone Berlin (Solo)</w:t>
      </w:r>
      <w:r>
        <w:br/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       Vielleicht ändert sich ja doch nichts, Galerie Molliné Stuttgart (Solo)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>2012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Salpeter, Schwefel, Kohle, Glück, Galerie Crone Berlin (Solo)</w:t>
      </w:r>
      <w:r>
        <w:br/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       I am a Berliner, Ex Convento del Carmelo Sassari (Group)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808080" w:themeColor="background1" w:themeTint="FF" w:themeShade="80"/>
          <w:sz w:val="27"/>
          <w:szCs w:val="27"/>
          <w:lang w:val="en-GB"/>
        </w:rPr>
        <w:t xml:space="preserve">        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>I am a Berliner, Tel Aviv Museum of Art, Helena Rubinstein Pavilion (Group)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>2011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salondergegenwart, Hamburg (Group)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808080" w:themeColor="background1" w:themeTint="FF" w:themeShade="80"/>
          <w:sz w:val="27"/>
          <w:szCs w:val="27"/>
          <w:lang w:val="en-GB"/>
        </w:rPr>
        <w:t xml:space="preserve">        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>I am a Berliner, Croatian Association of Artists (HDLU) Zagreb (Group)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808080" w:themeColor="background1" w:themeTint="FF" w:themeShade="80"/>
          <w:sz w:val="27"/>
          <w:szCs w:val="27"/>
          <w:lang w:val="en-GB"/>
        </w:rPr>
        <w:t xml:space="preserve">        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>Deutsch, Galerie Crone Berlin (Group)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>2010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Der Teufel ist ein Eichhörnchen, Galerie Crone Berlin (Solo)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>2009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Fantasmi, Galerie Bernhard Knaus Frankfurt a. M. (Solo)</w:t>
      </w:r>
      <w:r>
        <w:br/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       Patterns in nature, Städtische Galerie Neunkirchen (Group)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>2008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In naher Ferne, Galerie Crone Berlin (Solo)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>2007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Space Control, Assab one Milano (Group)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808080" w:themeColor="background1" w:themeTint="FF" w:themeShade="80"/>
          <w:sz w:val="27"/>
          <w:szCs w:val="27"/>
          <w:lang w:val="en-GB"/>
        </w:rPr>
        <w:t xml:space="preserve">      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>Statement, Galerie Bernhard Knaus Frankfurt a. M. (Group)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>2006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Freiheit und Gnade (mit Markus Keibel), Galerie Bernhard Knaus Mannheim (Solo)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808080" w:themeColor="background1" w:themeTint="FF" w:themeShade="80"/>
          <w:sz w:val="27"/>
          <w:szCs w:val="27"/>
          <w:lang w:val="en-GB"/>
        </w:rPr>
        <w:t xml:space="preserve">      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>Mit Haken und Ösen (mit Chris Larson), Galerie Magnus Müller Berlin (Solo)</w:t>
      </w:r>
      <w:r>
        <w:br/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     Art Biesenthal in construction, Biesenthal (Group)</w:t>
      </w:r>
      <w:r>
        <w:br/>
      </w:r>
      <w:r w:rsidRPr="3CCCF6C5" w:rsidR="3CCCF6C5">
        <w:rPr>
          <w:rFonts w:ascii="helvetica" w:hAnsi="helvetica" w:eastAsia="helvetica" w:cs="helvetica"/>
          <w:b w:val="1"/>
          <w:bCs w:val="1"/>
          <w:noProof w:val="0"/>
          <w:color w:val="777777"/>
          <w:sz w:val="27"/>
          <w:szCs w:val="27"/>
          <w:lang w:val="en-GB"/>
        </w:rPr>
        <w:t>2005</w:t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Vom Ansich zum Fürsich zum Wirsich (mit Markus Keibel), Galerie Magnus Müller Berlin (Solo)</w:t>
      </w:r>
      <w:r>
        <w:br/>
      </w:r>
      <w:r w:rsidRPr="3CCCF6C5" w:rsidR="3CCCF6C5">
        <w:rPr>
          <w:rFonts w:ascii="helvetica" w:hAnsi="helvetica" w:eastAsia="helvetica" w:cs="helvetica"/>
          <w:noProof w:val="0"/>
          <w:color w:val="777777"/>
          <w:sz w:val="27"/>
          <w:szCs w:val="27"/>
          <w:lang w:val="en-GB"/>
        </w:rPr>
        <w:t xml:space="preserve">        Die Unruhe des Werdens, Kunstverein Pforzheim (Group)</w:t>
      </w:r>
      <w:r>
        <w:br/>
      </w:r>
    </w:p>
    <w:p xmlns:wp14="http://schemas.microsoft.com/office/word/2010/wordml" w:rsidP="3CCCF6C5" wp14:paraId="697B2CD5" wp14:textId="2CB83466">
      <w:pPr>
        <w:spacing w:before="450" w:beforeAutospacing="off" w:after="450" w:afterAutospacing="off"/>
        <w:rPr>
          <w:rFonts w:ascii="helvetica" w:hAnsi="helvetica" w:eastAsia="helvetica" w:cs="helvetica"/>
          <w:noProof w:val="0"/>
          <w:color w:val="000000" w:themeColor="text1" w:themeTint="FF" w:themeShade="FF"/>
          <w:sz w:val="45"/>
          <w:szCs w:val="45"/>
          <w:lang w:val="en-GB"/>
        </w:rPr>
      </w:pPr>
    </w:p>
    <w:p xmlns:wp14="http://schemas.microsoft.com/office/word/2010/wordml" w:rsidP="3CCCF6C5" wp14:paraId="5E5787A5" wp14:textId="7642AF8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367B89"/>
    <w:rsid w:val="04367B89"/>
    <w:rsid w:val="3CCCF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7B89"/>
  <w15:chartTrackingRefBased/>
  <w15:docId w15:val="{49C03C12-35D3-4036-86AF-520AA9420F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souvenirby.com/" TargetMode="External" Id="R7f96d44b6ed045c3" /><Relationship Type="http://schemas.openxmlformats.org/officeDocument/2006/relationships/hyperlink" Target="http://souvenirby.com/Harald-Hermann" TargetMode="External" Id="Rcf110c4a9e7443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Movart (Good Water, unipessoal, LDA) 515166294 Dropbox</dc:creator>
  <keywords/>
  <dc:description/>
  <lastModifiedBy>Movart (Good Water, unipessoal, LDA) 515166294 Dropbox</lastModifiedBy>
  <revision>2</revision>
  <dcterms:created xsi:type="dcterms:W3CDTF">2024-07-15T15:57:31.8810687Z</dcterms:created>
  <dcterms:modified xsi:type="dcterms:W3CDTF">2024-07-15T15:58:04.6491502Z</dcterms:modified>
</coreProperties>
</file>